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40E51C" w14:textId="77777777" w:rsidR="00EC30A1" w:rsidRPr="00EC30A1" w:rsidRDefault="00EC30A1" w:rsidP="00EC30A1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bookmarkStart w:id="1" w:name="_Hlk112400755"/>
      <w:r w:rsidRPr="00EC30A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UCHWAŁA Nr 460/ </w:t>
      </w:r>
      <w:r w:rsidR="008C36AF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9505</w:t>
      </w:r>
      <w:r w:rsidRPr="00EC30A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 /23</w:t>
      </w:r>
    </w:p>
    <w:p w14:paraId="1AA259A3" w14:textId="77777777" w:rsidR="00EC30A1" w:rsidRPr="00EC30A1" w:rsidRDefault="00EC30A1" w:rsidP="00EC30A1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EC30A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61557C6F" w14:textId="77777777" w:rsidR="00EC30A1" w:rsidRPr="00EC30A1" w:rsidRDefault="00EC30A1" w:rsidP="00EC30A1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C30A1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7938D56" w14:textId="77777777" w:rsidR="00EC30A1" w:rsidRPr="00EC30A1" w:rsidRDefault="00EC30A1" w:rsidP="00EC30A1">
      <w:pPr>
        <w:suppressAutoHyphens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EC30A1">
        <w:rPr>
          <w:rFonts w:ascii="Arial" w:eastAsia="Times New Roman" w:hAnsi="Arial" w:cs="Times New Roman"/>
          <w:sz w:val="24"/>
          <w:szCs w:val="24"/>
          <w:lang w:eastAsia="pl-PL"/>
        </w:rPr>
        <w:t>z dnia 7 lutego 2023 r.</w:t>
      </w:r>
      <w:bookmarkEnd w:id="0"/>
    </w:p>
    <w:p w14:paraId="62A1DC01" w14:textId="77777777" w:rsidR="005B1779" w:rsidRDefault="005B1779" w:rsidP="005B1779">
      <w:pPr>
        <w:keepNext/>
        <w:keepLines/>
        <w:spacing w:before="240"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r w:rsidRPr="009550CC">
        <w:rPr>
          <w:rFonts w:ascii="Arial" w:eastAsia="Times New Roman" w:hAnsi="Arial" w:cs="Arial"/>
          <w:b/>
          <w:bCs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Strategii Rozwoju Gminy Jasienica Rosielna na lata 2022-2031</w:t>
      </w:r>
    </w:p>
    <w:bookmarkEnd w:id="1"/>
    <w:p w14:paraId="7682024E" w14:textId="77777777" w:rsidR="005B1779" w:rsidRDefault="005B1779" w:rsidP="005B1779">
      <w:pPr>
        <w:spacing w:before="240" w:after="24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2094) w związku z art. 10f ust. 2 i 3 ustawy z dnia 8 marca 1990 r.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Dz. U. z 2023 r. poz. 40)</w:t>
      </w:r>
    </w:p>
    <w:p w14:paraId="749F5269" w14:textId="77777777" w:rsidR="005B1779" w:rsidRDefault="005B1779" w:rsidP="005B1779">
      <w:pPr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1F296B86" w14:textId="77777777" w:rsidR="005B1779" w:rsidRDefault="005B1779" w:rsidP="005B1779">
      <w:pPr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130EC461" w14:textId="77777777" w:rsidR="005B1779" w:rsidRDefault="005B1779" w:rsidP="005B1779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389088C4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2" w:name="_Hlk45790122"/>
      <w:bookmarkEnd w:id="2"/>
      <w:r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Pr="009550CC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Pr="009550CC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Pr="005B1779">
        <w:rPr>
          <w:rFonts w:ascii="Arial" w:eastAsia="Times New Roman" w:hAnsi="Arial" w:cs="Arial"/>
          <w:i/>
          <w:sz w:val="24"/>
          <w:szCs w:val="24"/>
          <w:lang w:eastAsia="ar-SA"/>
        </w:rPr>
        <w:t>Jasienica Rosielna na lata 2022-2031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>w zakresie sposobu uwzględnienia ustaleń i rekomendacji dotyczących kształtowania i prowadzenia polityki przestrzennej w województwie określonych w </w:t>
      </w:r>
      <w:r w:rsidRPr="00D271A0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1BDBA4A4" w14:textId="77777777" w:rsidR="005B1779" w:rsidRDefault="005B1779" w:rsidP="005B1779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5447EE76" w14:textId="77777777" w:rsidR="005B1779" w:rsidRDefault="005B1779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6693F843" w14:textId="77777777" w:rsidR="005B1779" w:rsidRDefault="005B1779" w:rsidP="005B1779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55A8028C" w14:textId="77777777" w:rsidR="005B1779" w:rsidRDefault="005B1779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29769764" w14:textId="77777777" w:rsidR="005B1779" w:rsidRDefault="005B1779" w:rsidP="005B1779">
      <w:pPr>
        <w:keepNext/>
        <w:keepLine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137F2BDB" w14:textId="77777777" w:rsidR="005B1779" w:rsidRDefault="005B1779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23C62930" w14:textId="77777777" w:rsidR="00660CEF" w:rsidRDefault="00660CEF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36247002" w14:textId="77777777" w:rsidR="00660CEF" w:rsidRPr="005105E4" w:rsidRDefault="00660CEF" w:rsidP="00660CEF">
      <w:pPr>
        <w:spacing w:after="0"/>
        <w:rPr>
          <w:rFonts w:ascii="Arial" w:eastAsia="Calibri" w:hAnsi="Arial" w:cs="Arial"/>
          <w:sz w:val="23"/>
          <w:szCs w:val="23"/>
        </w:rPr>
      </w:pPr>
      <w:bookmarkStart w:id="3" w:name="_Hlk114218814"/>
      <w:r w:rsidRPr="005105E4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EE9C303" w14:textId="77777777" w:rsidR="00660CEF" w:rsidRPr="005105E4" w:rsidRDefault="00660CEF" w:rsidP="00660CEF">
      <w:pPr>
        <w:spacing w:after="0"/>
        <w:rPr>
          <w:rFonts w:ascii="Arial" w:eastAsiaTheme="minorEastAsia" w:hAnsi="Arial" w:cs="Arial"/>
        </w:rPr>
      </w:pPr>
      <w:r w:rsidRPr="005105E4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629536B8" w14:textId="77777777" w:rsidR="00660CEF" w:rsidRDefault="00660CEF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619C842" w14:textId="77777777" w:rsidR="00660CEF" w:rsidRDefault="00660CEF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459AABB3" w14:textId="1161201E" w:rsidR="00660CEF" w:rsidRDefault="00660CEF" w:rsidP="005B1779">
      <w:pPr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60CEF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9B9B9BC" w14:textId="77777777" w:rsidR="00EC30A1" w:rsidRPr="00EC30A1" w:rsidRDefault="00EC30A1" w:rsidP="00EC30A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lastRenderedPageBreak/>
        <w:t>Załącznik do Uchwały Nr 460/</w:t>
      </w:r>
      <w:r w:rsidR="008C36AF">
        <w:rPr>
          <w:rFonts w:ascii="Arial" w:eastAsia="Times New Roman" w:hAnsi="Arial" w:cs="Arial"/>
          <w:bCs/>
          <w:sz w:val="24"/>
          <w:szCs w:val="24"/>
          <w:lang w:eastAsia="pl-PL"/>
        </w:rPr>
        <w:t>9505</w:t>
      </w:r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4517349E" w14:textId="77777777" w:rsidR="00EC30A1" w:rsidRPr="00EC30A1" w:rsidRDefault="00EC30A1" w:rsidP="00EC30A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64A6AA4" w14:textId="77777777" w:rsidR="00EC30A1" w:rsidRPr="00EC30A1" w:rsidRDefault="00EC30A1" w:rsidP="00EC30A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0FE9D5DF" w14:textId="77777777" w:rsidR="00EC30A1" w:rsidRPr="00EC30A1" w:rsidRDefault="00EC30A1" w:rsidP="00EC30A1">
      <w:pPr>
        <w:suppressAutoHyphens w:val="0"/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EC30A1">
        <w:rPr>
          <w:rFonts w:ascii="Arial" w:eastAsia="Times New Roman" w:hAnsi="Arial" w:cs="Times New Roman"/>
          <w:sz w:val="24"/>
          <w:szCs w:val="24"/>
          <w:lang w:eastAsia="pl-PL"/>
        </w:rPr>
        <w:t xml:space="preserve">7 lutego 2023 </w:t>
      </w:r>
      <w:r w:rsidRPr="00EC30A1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  <w:bookmarkEnd w:id="4"/>
    </w:p>
    <w:p w14:paraId="18BE79A5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5E4D7A2B" w14:textId="77777777" w:rsidR="005B1779" w:rsidRDefault="005B1779" w:rsidP="005B177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2B130F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  <w:r w:rsidR="00316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Dz. U. z 2023 r. poz. 40, dalej </w:t>
      </w:r>
      <w:proofErr w:type="spellStart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wójta projekt strategii rozwoju gminy przedkładany jest zarządowi województwa w celu wydania opinii dotyczącej sposobu uwzględnienia ustaleń i rekomendacji w zakresie kształtowania i</w:t>
      </w:r>
      <w:r w:rsidR="003162E8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prowadzenia polityki przestrzennej w województwie określonych w strategii rozwoju województwa.</w:t>
      </w:r>
    </w:p>
    <w:p w14:paraId="5D54AB8C" w14:textId="77777777" w:rsidR="005B1779" w:rsidRDefault="005B1779" w:rsidP="005B177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 terminie 30 dni od dnia otrzymania projektu strategii rozwoju gminy zarząd województwa wydaje opinię w niniejszym zakresie. Brak wydania opinii w tym terminie oznacza przyjęcie, że przedłożona do opiniowania strategia rozwoju gminy jest spójna ze strategią rozwoju województwa.</w:t>
      </w:r>
    </w:p>
    <w:p w14:paraId="1445F13B" w14:textId="77777777" w:rsidR="005B1779" w:rsidRPr="00173CA7" w:rsidRDefault="00A06F53" w:rsidP="005B1779">
      <w:pPr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Pismem z dnia 10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stycznia 2023 r.,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BFP.061.3.2022 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Pan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i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Urszula Brzuszek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–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Wójt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 Gminy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Jasienica Rosielna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wystąpił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a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o zaopiniowanie </w:t>
      </w:r>
      <w:r w:rsidR="005B1779" w:rsidRPr="009550CC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projektu </w:t>
      </w:r>
      <w:r w:rsidR="005B177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</w:t>
      </w:r>
      <w:r w:rsidRPr="00A06F5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Gminy Jasienica Rosielna na lata 2022-2031 </w:t>
      </w:r>
      <w:r w:rsidR="005B1779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(SRG). 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Przedmiotowe pismo wpłynęło do Urzędu Marszałkowskiego Woje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wództwa Podkarpackiego w dniu 11 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stycznia 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="005B1779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r.</w:t>
      </w:r>
    </w:p>
    <w:p w14:paraId="5A440FF7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projektu 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Pr="005B1779">
        <w:rPr>
          <w:rFonts w:ascii="Arial" w:eastAsia="Times New Roman" w:hAnsi="Arial" w:cs="Arial"/>
          <w:i/>
          <w:sz w:val="24"/>
          <w:szCs w:val="24"/>
          <w:lang w:eastAsia="ar-SA"/>
        </w:rPr>
        <w:t>Jasienica Rosielna na lata 2022-2031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516AF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wykracza poza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horyzont czasowy przyjęty w 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r w:rsidRPr="002B130F">
        <w:rPr>
          <w:rFonts w:ascii="Arial" w:eastAsia="Times New Roman" w:hAnsi="Arial" w:cs="Arial"/>
          <w:i/>
          <w:sz w:val="24"/>
          <w:szCs w:val="24"/>
          <w:lang w:eastAsia="ar-SA"/>
        </w:rPr>
        <w:t>SRWP 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).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w ich ramach kierunki działań zgodne są z zapisami </w:t>
      </w:r>
      <w:r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>
        <w:rPr>
          <w:rFonts w:ascii="Arial" w:eastAsia="Times New Roman" w:hAnsi="Arial" w:cs="Arial"/>
          <w:sz w:val="24"/>
          <w:szCs w:val="24"/>
          <w:lang w:eastAsia="pl-PL"/>
        </w:rPr>
        <w:t>. W szczególności wpisują się one w sposób bezpośredni lub pośredni m.in. w niżej wymienione obszary tematyczne i priorytety.</w:t>
      </w:r>
    </w:p>
    <w:p w14:paraId="00256507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35A17F68" w14:textId="77777777" w:rsidR="00DE69F7" w:rsidRDefault="00DE69F7" w:rsidP="00DE69F7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1.2.</w:t>
      </w:r>
      <w:r w:rsidRPr="00DE69F7">
        <w:rPr>
          <w:rFonts w:ascii="Arial" w:eastAsia="Times New Roman" w:hAnsi="Arial" w:cs="Arial"/>
          <w:sz w:val="24"/>
          <w:szCs w:val="24"/>
          <w:lang w:eastAsia="pl-PL"/>
        </w:rPr>
        <w:t xml:space="preserve"> Inteligentne specjalizacje województwa</w:t>
      </w:r>
    </w:p>
    <w:p w14:paraId="0FA185AA" w14:textId="77777777" w:rsidR="00DE69F7" w:rsidRPr="00DE69F7" w:rsidRDefault="00DE69F7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 6.2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2917431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12366CC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cele operacyjne: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1.1, 3.1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6.2, 6.3, 6.4, 6.5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62B88A3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6F259799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1035C63D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>
        <w:rPr>
          <w:rFonts w:ascii="Arial" w:eastAsia="Times New Roman" w:hAnsi="Arial" w:cs="Arial"/>
          <w:sz w:val="24"/>
          <w:szCs w:val="24"/>
          <w:lang w:eastAsia="pl-PL"/>
        </w:rPr>
        <w:t>wpisują się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1.5,  1.7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7A02DD29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2.2. Regionalna polityka zdrowotna</w:t>
      </w:r>
    </w:p>
    <w:p w14:paraId="5AEB6747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lastRenderedPageBreak/>
        <w:t>W priory</w:t>
      </w:r>
      <w:r w:rsidR="00A06F53">
        <w:rPr>
          <w:rFonts w:ascii="Arial" w:eastAsia="Times New Roman" w:hAnsi="Arial" w:cs="Arial"/>
          <w:sz w:val="24"/>
          <w:szCs w:val="24"/>
          <w:lang w:eastAsia="pl-PL"/>
        </w:rPr>
        <w:t xml:space="preserve">tet wpisuje się cel operacyjny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13E5F287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2.3. Kultura i dziedzictwo kulturowe</w:t>
      </w:r>
    </w:p>
    <w:p w14:paraId="7795CF73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</w:t>
      </w:r>
      <w:r w:rsidR="00A06F53">
        <w:rPr>
          <w:rFonts w:ascii="Arial" w:eastAsia="Times New Roman" w:hAnsi="Arial" w:cs="Arial"/>
          <w:sz w:val="24"/>
          <w:szCs w:val="24"/>
          <w:lang w:eastAsia="pl-PL"/>
        </w:rPr>
        <w:t xml:space="preserve">ne: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1.8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5.1, 5.2, 6.5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94467A3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6048B19A" w14:textId="77777777" w:rsidR="005B1779" w:rsidRDefault="00DE69F7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 w:rsidR="005B1779" w:rsidRPr="004A2838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="005B1779" w:rsidRPr="004A2838">
        <w:rPr>
          <w:rFonts w:ascii="Arial" w:eastAsia="Times New Roman" w:hAnsi="Arial" w:cs="Arial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>e: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1.1,  </w:t>
      </w:r>
      <w:r>
        <w:rPr>
          <w:rFonts w:ascii="Arial" w:eastAsia="Times New Roman" w:hAnsi="Arial" w:cs="Arial"/>
          <w:sz w:val="24"/>
          <w:szCs w:val="24"/>
          <w:lang w:eastAsia="pl-PL"/>
        </w:rPr>
        <w:t>1.6,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6.1 </w:t>
      </w:r>
      <w:r w:rsidR="005B1779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5B17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FD25588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2.5.</w:t>
      </w:r>
      <w:r w:rsidRPr="002568AF">
        <w:rPr>
          <w:rFonts w:ascii="Arial" w:eastAsia="Times New Roman" w:hAnsi="Arial" w:cs="Arial"/>
          <w:sz w:val="24"/>
          <w:szCs w:val="24"/>
          <w:lang w:eastAsia="pl-PL"/>
        </w:rPr>
        <w:t xml:space="preserve"> Społeczeństwo obywatelskie i kapitał społeczny</w:t>
      </w:r>
    </w:p>
    <w:p w14:paraId="23283486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A06F5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1.1, 1.10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6.3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873C4A8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6C4C41E9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1.1, 1.4, 1.6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6.1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4898287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6A614AAF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1.9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17B0D04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58AF2C71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5348CAA9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1.2 , 2.1, 2.5, 4.1, 4.3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2A93868B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Calibri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3.2.</w:t>
      </w:r>
      <w:r>
        <w:rPr>
          <w:rFonts w:ascii="Arial" w:eastAsia="Calibri" w:hAnsi="Arial" w:cs="Arial"/>
          <w:sz w:val="24"/>
          <w:szCs w:val="24"/>
          <w:lang w:eastAsia="ar-SA"/>
        </w:rPr>
        <w:t xml:space="preserve"> Rozwój infrastruktury transportowej oraz integracji międzygałęziowej transportu</w:t>
      </w:r>
    </w:p>
    <w:p w14:paraId="789D5178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1.2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64B53AB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3.3. Poprawa dostępności komunikacyjnej wewnątrz regionu oraz rozwój transportu publicznego</w:t>
      </w:r>
    </w:p>
    <w:p w14:paraId="52D59053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 operacyjn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y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1.11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60EABBF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3.4. Rozwój infrastruktury informacyjno-komunikacyjnej w regionie</w:t>
      </w:r>
    </w:p>
    <w:p w14:paraId="5BDFB84B" w14:textId="77777777" w:rsidR="005B1779" w:rsidRDefault="00DE69F7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1.11 </w:t>
      </w:r>
      <w:r w:rsidR="005B1779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5B17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30AE0364" w14:textId="77777777" w:rsidR="005B1779" w:rsidRDefault="005B1779" w:rsidP="005B177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1EC4ED9E" w14:textId="77777777" w:rsidR="005B1779" w:rsidRDefault="005B1779" w:rsidP="005B1779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1.9, 2.1, 2.3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6.2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3DC9B85" w14:textId="77777777" w:rsidR="005B1779" w:rsidRDefault="005B1779" w:rsidP="005B1779">
      <w:pPr>
        <w:spacing w:after="0" w:line="276" w:lineRule="auto"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3.6.  </w:t>
      </w:r>
      <w:r>
        <w:rPr>
          <w:rFonts w:ascii="Arial" w:eastAsia="Times New Roman" w:hAnsi="Arial"/>
          <w:color w:val="000000"/>
          <w:sz w:val="24"/>
          <w:szCs w:val="24"/>
          <w:lang w:eastAsia="pl-PL"/>
        </w:rPr>
        <w:t>Przeciwdziałanie i minimalizowanie skutków zagrożeń wywołanych czynnikami naturalnym</w:t>
      </w:r>
    </w:p>
    <w:p w14:paraId="4146FDFB" w14:textId="77777777" w:rsidR="005B1779" w:rsidRDefault="005B1779" w:rsidP="005B1779">
      <w:pPr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1.2, 2.4</w:t>
      </w:r>
      <w:r w:rsidR="00DE69F7">
        <w:rPr>
          <w:rFonts w:ascii="Arial" w:eastAsia="Times New Roman" w:hAnsi="Arial" w:cs="Arial"/>
          <w:sz w:val="24"/>
          <w:szCs w:val="24"/>
          <w:lang w:eastAsia="pl-PL"/>
        </w:rPr>
        <w:t>, 4.3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5B8A56A8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652B4804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2.4, 4.2 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4876AB40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0B94A260" w14:textId="77777777" w:rsidR="005B1779" w:rsidRPr="00194A29" w:rsidRDefault="005B1779" w:rsidP="005B1779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4.1. </w:t>
      </w:r>
      <w:r w:rsidRPr="00E56B66">
        <w:rPr>
          <w:rFonts w:ascii="Arial" w:eastAsia="Times New Roman" w:hAnsi="Arial" w:cs="Arial"/>
          <w:sz w:val="24"/>
          <w:szCs w:val="24"/>
          <w:lang w:eastAsia="pl-PL"/>
        </w:rPr>
        <w:t>Poprawa dostępności do usług publicznych poprzez wykorzystanie technologii informacyjno-komunikacyjnych</w:t>
      </w:r>
    </w:p>
    <w:p w14:paraId="6025F478" w14:textId="77777777" w:rsidR="005B1779" w:rsidRPr="00A25187" w:rsidRDefault="00DE69F7" w:rsidP="005B1779">
      <w:pPr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</w:t>
      </w:r>
      <w:r w:rsidR="005B1779" w:rsidRPr="00194A29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1.12 </w:t>
      </w:r>
      <w:r w:rsidR="005B1779" w:rsidRPr="00194A29">
        <w:rPr>
          <w:rFonts w:ascii="Arial" w:eastAsia="Times New Roman" w:hAnsi="Arial" w:cs="Arial"/>
          <w:i/>
          <w:sz w:val="24"/>
          <w:szCs w:val="24"/>
          <w:lang w:eastAsia="pl-PL"/>
        </w:rPr>
        <w:t>SRG</w:t>
      </w:r>
      <w:r w:rsidR="005B1779" w:rsidRPr="00194A29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B209741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4.2. Planowanie przestrzenne wspierające aktywizację społeczności i aktywizacja obszarów zdegradowanych</w:t>
      </w:r>
    </w:p>
    <w:p w14:paraId="1C577587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4A2838"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="00A06F5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 xml:space="preserve">1.6,  2.2, 3.1 </w:t>
      </w:r>
      <w:r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62447882" w14:textId="77777777" w:rsidR="005B1779" w:rsidRDefault="005B1779" w:rsidP="005B1779">
      <w:pPr>
        <w:spacing w:after="120" w:line="276" w:lineRule="auto"/>
        <w:contextualSpacing/>
        <w:jc w:val="both"/>
        <w:rPr>
          <w:rFonts w:ascii="Arial" w:eastAsia="Times New Roman" w:hAnsi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Priorytet 4.3. </w:t>
      </w:r>
      <w:r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77D00377" w14:textId="77777777" w:rsidR="005B1779" w:rsidRDefault="00DE69F7" w:rsidP="005B1779">
      <w:pPr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wpisują</w:t>
      </w:r>
      <w:r w:rsidR="005B17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</w:t>
      </w:r>
      <w:r w:rsidR="005B1779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</w:t>
      </w:r>
      <w:r w:rsidR="005B1779" w:rsidRPr="004A2838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operacyjn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e:</w:t>
      </w:r>
      <w:r w:rsidR="00A06F5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5B177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1151">
        <w:rPr>
          <w:rFonts w:ascii="Arial" w:eastAsia="Times New Roman" w:hAnsi="Arial" w:cs="Arial"/>
          <w:sz w:val="24"/>
          <w:szCs w:val="24"/>
          <w:lang w:eastAsia="pl-PL"/>
        </w:rPr>
        <w:t>2.6,  3.1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, 6.2 </w:t>
      </w:r>
      <w:r w:rsidR="005B1779">
        <w:rPr>
          <w:rFonts w:ascii="Arial" w:eastAsia="Times New Roman" w:hAnsi="Arial" w:cs="Arial"/>
          <w:i/>
          <w:color w:val="000000"/>
          <w:sz w:val="24"/>
          <w:szCs w:val="24"/>
          <w:lang w:eastAsia="pl-PL"/>
        </w:rPr>
        <w:t>SRG</w:t>
      </w:r>
      <w:r w:rsidR="005B1779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</w:t>
      </w:r>
    </w:p>
    <w:p w14:paraId="0221F02F" w14:textId="77777777" w:rsidR="005B1779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B07E99A" w14:textId="77777777" w:rsidR="00B374DD" w:rsidRPr="00B374DD" w:rsidRDefault="00B374DD" w:rsidP="00B374DD">
      <w:pPr>
        <w:suppressAutoHyphens w:val="0"/>
        <w:spacing w:after="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>
        <w:rPr>
          <w:rFonts w:ascii="Arial" w:eastAsiaTheme="minorHAnsi" w:hAnsi="Arial" w:cs="Arial"/>
          <w:color w:val="000000" w:themeColor="text1"/>
          <w:sz w:val="24"/>
          <w:szCs w:val="24"/>
        </w:rPr>
        <w:t>Priorytet 7.3</w:t>
      </w:r>
      <w:r w:rsidRPr="00B374DD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. </w:t>
      </w:r>
      <w:r w:rsidR="00CC3142" w:rsidRPr="00CC3142">
        <w:rPr>
          <w:rFonts w:ascii="Arial" w:eastAsiaTheme="minorHAnsi" w:hAnsi="Arial" w:cs="Arial"/>
          <w:color w:val="000000" w:themeColor="text1"/>
          <w:sz w:val="24"/>
          <w:szCs w:val="24"/>
        </w:rPr>
        <w:t>Obszary wymagające szczególnego wsparcia w kontekście równoważenia rozwoju</w:t>
      </w:r>
    </w:p>
    <w:p w14:paraId="2999B16F" w14:textId="77777777" w:rsidR="00B374DD" w:rsidRPr="00DE69F7" w:rsidRDefault="00B374DD" w:rsidP="00DE69F7">
      <w:pPr>
        <w:suppressAutoHyphens w:val="0"/>
        <w:spacing w:after="240" w:line="276" w:lineRule="auto"/>
        <w:jc w:val="both"/>
        <w:rPr>
          <w:rFonts w:ascii="Arial" w:eastAsiaTheme="minorHAnsi" w:hAnsi="Arial" w:cs="Arial"/>
          <w:color w:val="000000" w:themeColor="text1"/>
          <w:sz w:val="24"/>
          <w:szCs w:val="24"/>
        </w:rPr>
      </w:pPr>
      <w:r w:rsidRPr="00B374DD">
        <w:rPr>
          <w:rFonts w:ascii="Arial" w:eastAsiaTheme="minorHAnsi" w:hAnsi="Arial" w:cs="Arial"/>
          <w:color w:val="000000" w:themeColor="text1"/>
          <w:sz w:val="24"/>
          <w:szCs w:val="24"/>
        </w:rPr>
        <w:t>Priorytet 7.4. Obszary wiejskie – wysoka jakość przestrzeni do zamieszkania, pracy i wypoczynku</w:t>
      </w:r>
    </w:p>
    <w:p w14:paraId="0838BCE1" w14:textId="77777777" w:rsidR="00A06F53" w:rsidRDefault="005B1779" w:rsidP="005B1779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Pr="0038747F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 </w:t>
      </w:r>
      <w:r w:rsidRPr="00CC3142">
        <w:rPr>
          <w:rFonts w:ascii="Arial" w:eastAsia="Times New Roman" w:hAnsi="Arial" w:cs="Arial"/>
          <w:i/>
          <w:iCs/>
          <w:sz w:val="24"/>
          <w:szCs w:val="24"/>
          <w:lang w:eastAsia="ar-SA"/>
        </w:rPr>
        <w:t xml:space="preserve">Strategii Rozwoju </w:t>
      </w:r>
      <w:r w:rsidR="00A06F53" w:rsidRPr="00CC3142">
        <w:rPr>
          <w:i/>
        </w:rPr>
        <w:t xml:space="preserve"> </w:t>
      </w:r>
      <w:r w:rsidR="00A06F53" w:rsidRPr="00CC3142">
        <w:rPr>
          <w:rFonts w:ascii="Arial" w:eastAsia="Times New Roman" w:hAnsi="Arial" w:cs="Arial"/>
          <w:i/>
          <w:sz w:val="24"/>
          <w:szCs w:val="24"/>
          <w:lang w:eastAsia="ar-SA"/>
        </w:rPr>
        <w:t>Gminy Jasienica Rosielna na lata 2022-2031</w:t>
      </w:r>
      <w:r w:rsidR="00A06F53">
        <w:rPr>
          <w:rFonts w:ascii="Arial" w:eastAsia="Times New Roman" w:hAnsi="Arial" w:cs="Arial"/>
          <w:sz w:val="24"/>
          <w:szCs w:val="24"/>
          <w:lang w:eastAsia="ar-SA"/>
        </w:rPr>
        <w:t xml:space="preserve"> z</w:t>
      </w:r>
      <w:r>
        <w:rPr>
          <w:rFonts w:ascii="Arial" w:eastAsia="Times New Roman" w:hAnsi="Arial" w:cs="Arial"/>
          <w:sz w:val="24"/>
          <w:szCs w:val="24"/>
          <w:lang w:eastAsia="ar-SA"/>
        </w:rPr>
        <w:t>ostał zweryfikowany pod kątem przedstawienia elementów, o</w:t>
      </w:r>
      <w:r w:rsidR="00A06F53">
        <w:rPr>
          <w:rFonts w:ascii="Arial" w:eastAsia="Times New Roman" w:hAnsi="Arial" w:cs="Arial"/>
          <w:sz w:val="24"/>
          <w:szCs w:val="24"/>
          <w:lang w:eastAsia="ar-SA"/>
        </w:rPr>
        <w:t> 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których mowa w art. 10e ust. 3 i 4 </w:t>
      </w:r>
      <w:proofErr w:type="spellStart"/>
      <w:r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>
        <w:rPr>
          <w:rFonts w:ascii="Arial" w:eastAsia="Times New Roman" w:hAnsi="Arial" w:cs="Arial"/>
          <w:sz w:val="24"/>
          <w:szCs w:val="24"/>
          <w:lang w:eastAsia="ar-SA"/>
        </w:rPr>
        <w:t>. Zgodnie z przywołaną regulacją, strategia rozwoju gminy powinna zawierać, m.in.: wnioski z diagnozy, cele strategiczne rozwoju w wymiarze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społecznym, gospodarczym i przestrzennym, kierunki działań podejmowanych dla osiągnięcia celów strategicznych, oczekiwane rezultaty planowanych działań, w tym w wymiarze przestrzennym, oraz wskaźniki ich osiągnięcia, model struktury funkcjonalno-przestrzennej, ustalenia i rekomendacje w zakresie kształtowania i prowadzenia polityki przestrzennej w gminie, obszary strategicznej interwencji wynikające ze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>strategii rozwoju województwa</w:t>
      </w:r>
      <w:r>
        <w:rPr>
          <w:rFonts w:eastAsia="Calibri" w:cs="Times New Roman"/>
          <w:lang w:eastAsia="ar-SA"/>
        </w:rPr>
        <w:t xml:space="preserve"> </w:t>
      </w:r>
      <w:r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wraz z zakresem planowanych działań, </w:t>
      </w:r>
      <w:r>
        <w:rPr>
          <w:rFonts w:ascii="Arial" w:eastAsia="Calibri" w:hAnsi="Arial" w:cs="Arial"/>
          <w:sz w:val="24"/>
          <w:szCs w:val="24"/>
        </w:rPr>
        <w:t>obszary strategicznej interwencji kluczowe dla gminy, jeżeli takie zidentyfikowano, wraz z zakresem planowanych działań, system realizacji strategii, w tym wytyczne do sporządzania dokumentów wykonawczych oraz ramy finansowe i źródła finansowania.</w:t>
      </w:r>
    </w:p>
    <w:p w14:paraId="03B2B725" w14:textId="77777777" w:rsidR="002D0E2E" w:rsidRDefault="002D0E2E" w:rsidP="004D6C32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D0E2E">
        <w:rPr>
          <w:rFonts w:ascii="Arial" w:eastAsia="Calibri" w:hAnsi="Arial" w:cs="Arial"/>
          <w:sz w:val="24"/>
          <w:szCs w:val="24"/>
        </w:rPr>
        <w:t>Przeprowadzona analiza przedłożonego dokumentu pod kątem sposobu uwzględnienia ustaleń i rekomendacji w zakresie kształtowania i prowadzenia polityki przestrzennej potwierdziła zgodność z zapisami Strategii rozwoju województwa – Podkarpackie 2030.</w:t>
      </w:r>
    </w:p>
    <w:p w14:paraId="7A28AAC7" w14:textId="77777777" w:rsidR="002D0E2E" w:rsidRDefault="002D0E2E" w:rsidP="004D6C32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2D0E2E">
        <w:rPr>
          <w:rFonts w:ascii="Arial" w:eastAsia="Calibri" w:hAnsi="Arial" w:cs="Arial"/>
          <w:sz w:val="24"/>
          <w:szCs w:val="24"/>
        </w:rPr>
        <w:t xml:space="preserve">Jednak w celu kompleksowości dokumentu rekomenduje się uzupełnienie </w:t>
      </w:r>
      <w:r>
        <w:rPr>
          <w:rFonts w:ascii="Arial" w:eastAsia="Calibri" w:hAnsi="Arial" w:cs="Arial"/>
          <w:sz w:val="24"/>
          <w:szCs w:val="24"/>
        </w:rPr>
        <w:t>zapisów SRG o wskazane poniżej elementy.</w:t>
      </w:r>
    </w:p>
    <w:p w14:paraId="052C982C" w14:textId="77777777" w:rsidR="004D6C32" w:rsidRDefault="004D6C32" w:rsidP="004D6C32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Projekt SRG nie odwołuje się do Planu Zagospodarowania Przestrzennego Województwa Podkarpackiego – Perspektywa 2030. Zarząd Województwa Podkarpackiego rekomenduje uzupełnienie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zapisów SRG</w:t>
      </w:r>
      <w:r w:rsidRP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o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wskazanie obszarów funkcjonalnych, w które wpisuje się gmina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Jasienica Rosielna</w:t>
      </w:r>
      <w:r w:rsidRP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zarówno w wersji tekstowej, jak i graficznej, a także wskazanie właściwych dla tych obszarów kierunków, zasad i warunków zagospodarowania przestrzennego.</w:t>
      </w:r>
    </w:p>
    <w:p w14:paraId="1AD67779" w14:textId="77777777" w:rsidR="00977E18" w:rsidRPr="007F1314" w:rsidRDefault="005B1779" w:rsidP="005B1779">
      <w:pPr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Strategia rozwoju gminy</w:t>
      </w:r>
      <w:r w:rsidRPr="0048358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w myśl art. 10e ust. 3 pkt 9 </w:t>
      </w:r>
      <w:proofErr w:type="spellStart"/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u.s.g</w:t>
      </w:r>
      <w:proofErr w:type="spellEnd"/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powinna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zawiera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ć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ramy finansowe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Pr="007336A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 źródła finansowania.</w:t>
      </w:r>
      <w:r w:rsid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p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rzedłożony</w:t>
      </w:r>
      <w:r w:rsid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 do opiniowania dokumencie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przedstawione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źródła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finansowania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zostały określone na dużym poziomie ogólności. W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świetle dostępnych dokumentów programowych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, 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sugeruje się je zweryfikować i</w:t>
      </w:r>
      <w:r w:rsid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 </w:t>
      </w:r>
      <w:r w:rsidRPr="0048358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skorygować, aby były zgodne z zakresem oficjalnie przyjętych programów perspektywy finansowej Unii Europejskiej na lata 2021-2027.</w:t>
      </w:r>
      <w:r w:rsidR="004D6C32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r w:rsidR="00EF0F7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Ponadto, </w:t>
      </w:r>
      <w:r w:rsidR="004F27D9" w:rsidRP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ramy </w:t>
      </w:r>
      <w:r w:rsidR="004F27D9" w:rsidRP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>finansowe określono poprzez odniesienie d</w:t>
      </w:r>
      <w:r w:rsid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o kondycji finansowej samorządu</w:t>
      </w:r>
      <w:r w:rsidR="004F27D9" w:rsidRP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z pominięciem źródeł finansowania zewnętrznego. </w:t>
      </w:r>
      <w:r w:rsid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Zgodnie z zapisami SRG, Projektodawca przewiduje również zaangażowanie pozabudżetowych środków, w związku z powyższym Zarząd</w:t>
      </w:r>
      <w:r w:rsidR="004F27D9" w:rsidRP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Województwa Podkarpackiego </w:t>
      </w:r>
      <w:r w:rsidR="004F27D9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rekomenduje rozszerzenie zapisów dokumentu o wskazany zakres. </w:t>
      </w:r>
      <w:r w:rsidR="0064177F">
        <w:rPr>
          <w:rFonts w:ascii="Arial" w:eastAsia="Times New Roman" w:hAnsi="Arial" w:cs="Arial"/>
          <w:sz w:val="24"/>
          <w:szCs w:val="24"/>
          <w:lang w:eastAsia="ar-SA"/>
        </w:rPr>
        <w:t>Dodatkowo</w:t>
      </w:r>
      <w:r w:rsidR="004F27D9">
        <w:rPr>
          <w:rFonts w:ascii="Arial" w:eastAsia="Times New Roman" w:hAnsi="Arial" w:cs="Arial"/>
          <w:sz w:val="24"/>
          <w:szCs w:val="24"/>
          <w:lang w:eastAsia="ar-SA"/>
        </w:rPr>
        <w:t xml:space="preserve">, w rozdziale 5 </w:t>
      </w:r>
      <w:r w:rsidR="004F27D9" w:rsidRPr="004F27D9">
        <w:rPr>
          <w:rFonts w:ascii="Arial" w:eastAsia="Times New Roman" w:hAnsi="Arial" w:cs="Arial"/>
          <w:i/>
          <w:sz w:val="24"/>
          <w:szCs w:val="24"/>
          <w:lang w:eastAsia="ar-SA"/>
        </w:rPr>
        <w:t>Ramy finansowe i źródła finansowania</w:t>
      </w:r>
      <w:r w:rsidR="0064177F">
        <w:rPr>
          <w:rFonts w:ascii="Arial" w:eastAsia="Times New Roman" w:hAnsi="Arial" w:cs="Arial"/>
          <w:sz w:val="24"/>
          <w:szCs w:val="24"/>
          <w:lang w:eastAsia="ar-SA"/>
        </w:rPr>
        <w:t xml:space="preserve"> błędnie wskazano lata realizacji </w:t>
      </w:r>
      <w:r w:rsidR="007F1314">
        <w:rPr>
          <w:rFonts w:ascii="Arial" w:eastAsia="Times New Roman" w:hAnsi="Arial" w:cs="Arial"/>
          <w:sz w:val="24"/>
          <w:szCs w:val="24"/>
          <w:lang w:eastAsia="ar-SA"/>
        </w:rPr>
        <w:t>SRG</w:t>
      </w:r>
      <w:r w:rsidR="004F27D9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30B22C3C" w14:textId="77777777" w:rsidR="005B1779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  <w:r w:rsidRPr="00977E18">
        <w:rPr>
          <w:rFonts w:ascii="Arial" w:eastAsia="Calibri" w:hAnsi="Arial" w:cs="Arial"/>
          <w:sz w:val="24"/>
          <w:szCs w:val="24"/>
        </w:rPr>
        <w:t>Mając na uwadze powyższe, na podstawie art. 41 ust. 1 ustawy z dnia 5 czerwca 1998 r. o samorządzie województwa (</w:t>
      </w:r>
      <w:proofErr w:type="spellStart"/>
      <w:r w:rsidRPr="00977E18">
        <w:rPr>
          <w:rFonts w:ascii="Arial" w:eastAsia="Calibri" w:hAnsi="Arial" w:cs="Arial"/>
          <w:sz w:val="24"/>
          <w:szCs w:val="24"/>
        </w:rPr>
        <w:t>t.j</w:t>
      </w:r>
      <w:proofErr w:type="spellEnd"/>
      <w:r w:rsidRPr="00977E18">
        <w:rPr>
          <w:rFonts w:ascii="Arial" w:eastAsia="Calibri" w:hAnsi="Arial" w:cs="Arial"/>
          <w:sz w:val="24"/>
          <w:szCs w:val="24"/>
        </w:rPr>
        <w:t>. Dz. U. z 2022 r. poz. 2094) w związku z art. 10f ust. 2 i 3 ustawy z dnia 8 marca 1990 r. o samorzą</w:t>
      </w:r>
      <w:r>
        <w:rPr>
          <w:rFonts w:ascii="Arial" w:eastAsia="Calibri" w:hAnsi="Arial" w:cs="Arial"/>
          <w:sz w:val="24"/>
          <w:szCs w:val="24"/>
        </w:rPr>
        <w:t>dzie gminnym (</w:t>
      </w:r>
      <w:proofErr w:type="spellStart"/>
      <w:r>
        <w:rPr>
          <w:rFonts w:ascii="Arial" w:eastAsia="Calibri" w:hAnsi="Arial" w:cs="Arial"/>
          <w:sz w:val="24"/>
          <w:szCs w:val="24"/>
        </w:rPr>
        <w:t>t.j</w:t>
      </w:r>
      <w:proofErr w:type="spellEnd"/>
      <w:r>
        <w:rPr>
          <w:rFonts w:ascii="Arial" w:eastAsia="Calibri" w:hAnsi="Arial" w:cs="Arial"/>
          <w:sz w:val="24"/>
          <w:szCs w:val="24"/>
        </w:rPr>
        <w:t>. Dz. U. z 2023 r. poz. 40</w:t>
      </w:r>
      <w:r w:rsidRPr="00977E18">
        <w:rPr>
          <w:rFonts w:ascii="Arial" w:eastAsia="Calibri" w:hAnsi="Arial" w:cs="Arial"/>
          <w:sz w:val="24"/>
          <w:szCs w:val="24"/>
        </w:rPr>
        <w:t xml:space="preserve">) Zarząd Województwa Podkarpackiego postanawia pozytywnie zaopiniować </w:t>
      </w:r>
      <w:r w:rsidRPr="00E56B66">
        <w:rPr>
          <w:rFonts w:ascii="Arial" w:eastAsia="Times New Roman" w:hAnsi="Arial" w:cs="Arial"/>
          <w:iCs/>
          <w:sz w:val="24"/>
          <w:szCs w:val="24"/>
          <w:lang w:eastAsia="ar-SA"/>
        </w:rPr>
        <w:t xml:space="preserve">projekt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 xml:space="preserve">Strategii Rozwoju Gminy Jasienica Rosielna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na </w:t>
      </w:r>
      <w:r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lata 2022-2031.</w:t>
      </w:r>
    </w:p>
    <w:p w14:paraId="3E57B404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5A1DC76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6D9380FE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EC88037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CEBA634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7540C21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6E6235E9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8BB2973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F31F9B7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4B45D29F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0AE023D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E98CE41" w14:textId="77777777" w:rsidR="007F1314" w:rsidRDefault="007F1314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072D6344" w14:textId="77777777" w:rsidR="007F1314" w:rsidRDefault="007F1314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7345DE66" w14:textId="77777777" w:rsidR="007F1314" w:rsidRDefault="007F1314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A71DFD2" w14:textId="77777777" w:rsidR="007F1314" w:rsidRDefault="007F1314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5DA4635D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0684CC18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2F965803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5BB33C5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69BDEDBF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656A8C8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</w:pPr>
    </w:p>
    <w:p w14:paraId="3595C5D1" w14:textId="77777777" w:rsidR="00977E18" w:rsidRDefault="00977E18" w:rsidP="005B1779">
      <w:pPr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sectPr w:rsidR="00977E18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939A82" w14:textId="77777777" w:rsidR="00A145A8" w:rsidRDefault="00A145A8" w:rsidP="0064177F">
      <w:pPr>
        <w:spacing w:after="0" w:line="240" w:lineRule="auto"/>
      </w:pPr>
      <w:r>
        <w:separator/>
      </w:r>
    </w:p>
  </w:endnote>
  <w:endnote w:type="continuationSeparator" w:id="0">
    <w:p w14:paraId="20615B9A" w14:textId="77777777" w:rsidR="00A145A8" w:rsidRDefault="00A145A8" w:rsidP="006417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9B43F7" w14:textId="77777777" w:rsidR="00A145A8" w:rsidRDefault="00A145A8" w:rsidP="0064177F">
      <w:pPr>
        <w:spacing w:after="0" w:line="240" w:lineRule="auto"/>
      </w:pPr>
      <w:r>
        <w:separator/>
      </w:r>
    </w:p>
  </w:footnote>
  <w:footnote w:type="continuationSeparator" w:id="0">
    <w:p w14:paraId="16365031" w14:textId="77777777" w:rsidR="00A145A8" w:rsidRDefault="00A145A8" w:rsidP="0064177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1779"/>
    <w:rsid w:val="001F75B5"/>
    <w:rsid w:val="002D0E2E"/>
    <w:rsid w:val="003162E8"/>
    <w:rsid w:val="004B1151"/>
    <w:rsid w:val="004D6C32"/>
    <w:rsid w:val="004F27D9"/>
    <w:rsid w:val="005B1779"/>
    <w:rsid w:val="0064177F"/>
    <w:rsid w:val="00660CEF"/>
    <w:rsid w:val="007F1314"/>
    <w:rsid w:val="00882113"/>
    <w:rsid w:val="008C36AF"/>
    <w:rsid w:val="00977E18"/>
    <w:rsid w:val="00A06F53"/>
    <w:rsid w:val="00A145A8"/>
    <w:rsid w:val="00A83D8D"/>
    <w:rsid w:val="00B374DD"/>
    <w:rsid w:val="00B45DE2"/>
    <w:rsid w:val="00CC3142"/>
    <w:rsid w:val="00DE69F7"/>
    <w:rsid w:val="00EA169B"/>
    <w:rsid w:val="00EC30A1"/>
    <w:rsid w:val="00EF0F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EF5675"/>
  <w15:chartTrackingRefBased/>
  <w15:docId w15:val="{B8B16E09-CCC9-450C-9DCF-6189E102B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69F7"/>
    <w:pPr>
      <w:suppressAutoHyphens/>
    </w:pPr>
    <w:rPr>
      <w:rFonts w:ascii="Calibri" w:eastAsia="SimSun" w:hAnsi="Calibri" w:cs="Calibri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B177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B177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4177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4177F"/>
    <w:rPr>
      <w:rFonts w:ascii="Calibri" w:eastAsia="SimSun" w:hAnsi="Calibri" w:cs="Calibri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4177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E69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E69F7"/>
    <w:rPr>
      <w:rFonts w:ascii="Segoe UI" w:eastAsia="SimSu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5</Pages>
  <Words>1272</Words>
  <Characters>7635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460_9505_23</dc:title>
  <dc:subject/>
  <dc:creator>Surmacz Paulina</dc:creator>
  <cp:keywords/>
  <dc:description/>
  <cp:lastModifiedBy>.</cp:lastModifiedBy>
  <cp:revision>8</cp:revision>
  <cp:lastPrinted>2023-02-07T07:18:00Z</cp:lastPrinted>
  <dcterms:created xsi:type="dcterms:W3CDTF">2023-01-31T15:23:00Z</dcterms:created>
  <dcterms:modified xsi:type="dcterms:W3CDTF">2023-02-09T13:11:00Z</dcterms:modified>
</cp:coreProperties>
</file>